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4C74" w:rsidR="008147D8" w:rsidP="008147D8" w:rsidRDefault="008147D8" w14:paraId="22F91796" w14:textId="77777777">
      <w:pPr>
        <w:spacing w:line="257" w:lineRule="auto"/>
        <w:rPr>
          <w:lang w:val="lt-LT"/>
        </w:rPr>
      </w:pPr>
    </w:p>
    <w:tbl>
      <w:tblPr>
        <w:tblStyle w:val="TableGrid"/>
        <w:tblpPr w:leftFromText="180" w:rightFromText="180" w:vertAnchor="text" w:horzAnchor="page" w:tblpX="1734" w:tblpY="-84"/>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638"/>
      </w:tblGrid>
      <w:tr w:rsidRPr="005A4C74" w:rsidR="008147D8" w:rsidTr="00CB3F60" w14:paraId="37C1BAE6" w14:textId="77777777">
        <w:tc>
          <w:tcPr>
            <w:tcW w:w="5000" w:type="pct"/>
          </w:tcPr>
          <w:p w:rsidRPr="005A4C74" w:rsidR="008147D8" w:rsidP="00CB3F60" w:rsidRDefault="008147D8" w14:paraId="490AA0A5" w14:textId="2C6132A0">
            <w:pPr>
              <w:pStyle w:val="Header"/>
              <w:ind w:left="1301"/>
              <w:jc w:val="right"/>
              <w:rPr>
                <w:rFonts w:ascii="Arial" w:hAnsi="Arial" w:cs="Arial"/>
                <w:b/>
                <w:bCs/>
                <w:sz w:val="20"/>
                <w:szCs w:val="20"/>
                <w:lang w:val="lt-LT"/>
              </w:rPr>
            </w:pPr>
            <w:r w:rsidRPr="005A4C74">
              <w:rPr>
                <w:rFonts w:ascii="Arial" w:hAnsi="Arial" w:eastAsia="Arial" w:cs="Arial"/>
                <w:b/>
                <w:bCs/>
                <w:sz w:val="20"/>
                <w:szCs w:val="20"/>
                <w:lang w:val="lt-LT"/>
              </w:rPr>
              <w:t xml:space="preserve">7 priedas. </w:t>
            </w:r>
            <w:r w:rsidRPr="005A4C74">
              <w:rPr>
                <w:rFonts w:ascii="Arial" w:hAnsi="Arial" w:cs="Arial"/>
                <w:b/>
                <w:bCs/>
                <w:sz w:val="20"/>
                <w:szCs w:val="20"/>
                <w:lang w:val="lt-LT"/>
              </w:rPr>
              <w:t>Daiktų, medžiagų, kurias draudžiama įvežti</w:t>
            </w:r>
            <w:r w:rsidR="005A4C74">
              <w:rPr>
                <w:rFonts w:ascii="Arial" w:hAnsi="Arial" w:cs="Arial"/>
                <w:b/>
                <w:bCs/>
                <w:sz w:val="20"/>
                <w:szCs w:val="20"/>
                <w:lang w:val="lt-LT"/>
              </w:rPr>
              <w:t>,</w:t>
            </w:r>
            <w:r w:rsidRPr="005A4C74">
              <w:rPr>
                <w:rFonts w:ascii="Arial" w:hAnsi="Arial" w:cs="Arial"/>
                <w:b/>
                <w:bCs/>
                <w:sz w:val="20"/>
                <w:szCs w:val="20"/>
                <w:lang w:val="lt-LT"/>
              </w:rPr>
              <w:t xml:space="preserve"> įnešti į teritoriją sąrašas</w:t>
            </w:r>
          </w:p>
        </w:tc>
      </w:tr>
      <w:tr w:rsidRPr="005A4C74" w:rsidR="008147D8" w:rsidTr="00CB3F60" w14:paraId="14FEA885" w14:textId="77777777">
        <w:tc>
          <w:tcPr>
            <w:tcW w:w="5000" w:type="pct"/>
          </w:tcPr>
          <w:p w:rsidRPr="005A4C74" w:rsidR="008147D8" w:rsidP="00CB3F60" w:rsidRDefault="008147D8" w14:paraId="1E2BE50B" w14:textId="77777777">
            <w:pPr>
              <w:pStyle w:val="Header"/>
              <w:tabs>
                <w:tab w:val="clear" w:pos="4986"/>
              </w:tabs>
              <w:ind w:left="1301"/>
              <w:jc w:val="right"/>
              <w:rPr>
                <w:rFonts w:ascii="Arial" w:hAnsi="Arial" w:eastAsia="Arial" w:cs="Arial"/>
                <w:sz w:val="20"/>
                <w:szCs w:val="20"/>
                <w:lang w:val="lt-LT"/>
              </w:rPr>
            </w:pPr>
            <w:r w:rsidRPr="005A4C74">
              <w:rPr>
                <w:rFonts w:ascii="Arial" w:hAnsi="Arial" w:eastAsia="Arial" w:cs="Arial"/>
                <w:sz w:val="20"/>
                <w:szCs w:val="20"/>
                <w:lang w:val="lt-LT"/>
              </w:rPr>
              <w:t>Rangovų darbų organizavimo standartas</w:t>
            </w:r>
          </w:p>
        </w:tc>
      </w:tr>
    </w:tbl>
    <w:p w:rsidRPr="005A4C74" w:rsidR="008147D8" w:rsidP="008147D8" w:rsidRDefault="008147D8" w14:paraId="0893C1C6" w14:textId="77777777">
      <w:pPr>
        <w:spacing w:line="257" w:lineRule="auto"/>
        <w:rPr>
          <w:lang w:val="lt-LT"/>
        </w:rPr>
      </w:pPr>
    </w:p>
    <w:p w:rsidRPr="005A4C74" w:rsidR="008147D8" w:rsidP="008147D8" w:rsidRDefault="008147D8" w14:paraId="277D7909" w14:textId="77777777">
      <w:pPr>
        <w:pStyle w:val="ListParagraph"/>
        <w:numPr>
          <w:ilvl w:val="0"/>
          <w:numId w:val="1"/>
        </w:numPr>
        <w:autoSpaceDE w:val="0"/>
        <w:autoSpaceDN w:val="0"/>
        <w:adjustRightInd w:val="0"/>
        <w:spacing w:after="0" w:line="257" w:lineRule="auto"/>
        <w:rPr>
          <w:rFonts w:ascii="Arial" w:hAnsi="Arial" w:cs="Arial"/>
          <w:sz w:val="20"/>
          <w:szCs w:val="20"/>
          <w:lang w:val="lt-LT"/>
        </w:rPr>
      </w:pPr>
      <w:r w:rsidRPr="005A4C74">
        <w:rPr>
          <w:rFonts w:ascii="Arial" w:hAnsi="Arial" w:cs="Arial"/>
          <w:b/>
          <w:bCs/>
          <w:sz w:val="20"/>
          <w:szCs w:val="20"/>
          <w:lang w:val="lt-LT"/>
        </w:rPr>
        <w:t xml:space="preserve">Šaunamasis ginklas </w:t>
      </w:r>
      <w:r w:rsidRPr="005A4C74">
        <w:rPr>
          <w:rFonts w:ascii="Arial" w:hAnsi="Arial" w:cs="Arial"/>
          <w:sz w:val="20"/>
          <w:szCs w:val="20"/>
          <w:lang w:val="lt-LT"/>
        </w:rPr>
        <w:t>– įrenginys ar daiktas, sukonstruotas ar pritaikytas kaip ginklas, iš kurio sprogstamųjų medžiagų degimo produktų slėgio jėga gali būti paleistos kulkos, sviediniai arba kenksmingosios, dirginančiosios medžiagos mechaniškai, termiškai, chemiškai ar kitaip taikiniui per atstumą paveikti arba duotas garso ar šviesos signalas. Šaunamaisiais ginklais laikomos ir pagrindinės šaunamųjų ginklų dalys.</w:t>
      </w:r>
    </w:p>
    <w:p w:rsidRPr="005A4C74" w:rsidR="008147D8" w:rsidP="008147D8" w:rsidRDefault="008147D8" w14:paraId="13991947"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Dujinis ginklas </w:t>
      </w:r>
      <w:r w:rsidRPr="005A4C74">
        <w:rPr>
          <w:rFonts w:ascii="Arial" w:hAnsi="Arial" w:cs="Arial"/>
          <w:sz w:val="20"/>
          <w:szCs w:val="20"/>
          <w:lang w:val="lt-LT"/>
        </w:rPr>
        <w:t>– nešaunamasis ginklas, iš kurio gali būti paleistos kenksmingosios, dirginančiosios medžiagos ar jų užtaisas. Dujiniai pistoletai (revolveriai) priskiriami šaunamiesiems ginklams.</w:t>
      </w:r>
    </w:p>
    <w:p w:rsidRPr="005A4C74" w:rsidR="008147D8" w:rsidP="008147D8" w:rsidRDefault="008147D8" w14:paraId="736B6573"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Templinis ginklas </w:t>
      </w:r>
      <w:r w:rsidRPr="005A4C74">
        <w:rPr>
          <w:rFonts w:ascii="Arial" w:hAnsi="Arial" w:cs="Arial"/>
          <w:sz w:val="20"/>
          <w:szCs w:val="20"/>
          <w:lang w:val="lt-LT"/>
        </w:rPr>
        <w:t>– nešaunamasis ginklas, kurio sviediniui, naudojantis raumenų jėga ar mechaniniais įrenginiais, energiją suteikia tamprus elementas.</w:t>
      </w:r>
    </w:p>
    <w:p w:rsidRPr="005A4C74" w:rsidR="008147D8" w:rsidP="008147D8" w:rsidRDefault="008147D8" w14:paraId="7A1FD081"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Signalinis ginklas </w:t>
      </w:r>
      <w:r w:rsidRPr="005A4C74">
        <w:rPr>
          <w:rFonts w:ascii="Arial" w:hAnsi="Arial" w:cs="Arial"/>
          <w:sz w:val="20"/>
          <w:szCs w:val="20"/>
          <w:lang w:val="lt-LT"/>
        </w:rPr>
        <w:t>– šaunamasis ginklas, skirtas garso, šviesos signalui sukurti signaliniu pirotechniniu įtaisu ar signaliniais šaudmenimis.</w:t>
      </w:r>
    </w:p>
    <w:p w:rsidRPr="005A4C74" w:rsidR="008147D8" w:rsidP="008147D8" w:rsidRDefault="008147D8" w14:paraId="318EDC13"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Pneumatinis ginklas </w:t>
      </w:r>
      <w:r w:rsidRPr="005A4C74">
        <w:rPr>
          <w:rFonts w:ascii="Arial" w:hAnsi="Arial" w:cs="Arial"/>
          <w:sz w:val="20"/>
          <w:szCs w:val="20"/>
          <w:lang w:val="lt-LT"/>
        </w:rPr>
        <w:t>– nešaunamasis ginklas, iš kurio paleidžiamos kulkos ar kitokio sviedinio kryptingas judėjimas atsiranda dėl suspausto oro ar kitų dujų jėgos</w:t>
      </w:r>
      <w:r w:rsidRPr="005A4C74">
        <w:rPr>
          <w:rFonts w:ascii="Arial" w:hAnsi="Arial" w:cs="Arial"/>
          <w:b/>
          <w:bCs/>
          <w:sz w:val="20"/>
          <w:szCs w:val="20"/>
          <w:lang w:val="lt-LT"/>
        </w:rPr>
        <w:t>.</w:t>
      </w:r>
    </w:p>
    <w:p w:rsidRPr="005A4C74" w:rsidR="008147D8" w:rsidP="008147D8" w:rsidRDefault="008147D8" w14:paraId="509D9E71"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Pagrindinės šaunamojo ginklo dalys </w:t>
      </w:r>
      <w:r w:rsidRPr="005A4C74">
        <w:rPr>
          <w:rFonts w:ascii="Arial" w:hAnsi="Arial" w:cs="Arial"/>
          <w:sz w:val="20"/>
          <w:szCs w:val="20"/>
          <w:lang w:val="lt-LT"/>
        </w:rPr>
        <w:t>– vamzdis, būgnelis, spyna (užraktas), spynos (užrakto) rėmas, pistoleto (revolverio) rėmas ir jų pusgaminiai, taip pat į šaunamojo ginklo vamzdį įdedamas įdėklas (mažesnio kalibro vamzdis).</w:t>
      </w:r>
    </w:p>
    <w:p w:rsidRPr="005A4C74" w:rsidR="008147D8" w:rsidP="008147D8" w:rsidRDefault="008147D8" w14:paraId="49D43136"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Nešaunamasis ginklas </w:t>
      </w:r>
      <w:r w:rsidRPr="005A4C74">
        <w:rPr>
          <w:rFonts w:ascii="Arial" w:hAnsi="Arial" w:cs="Arial"/>
          <w:sz w:val="20"/>
          <w:szCs w:val="20"/>
          <w:lang w:val="lt-LT"/>
        </w:rPr>
        <w:t>– įrenginys arba daiktas, sukonstruotas ar pritaikytas naudoti kaip ginklas, kuriuo taikinys paveikiamas nenaudojant sprogstamųjų medžiagų degimo produktų slėgio jėgos.</w:t>
      </w:r>
    </w:p>
    <w:p w:rsidRPr="005A4C74" w:rsidR="008147D8" w:rsidP="008147D8" w:rsidRDefault="008147D8" w14:paraId="6C70CE7D"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Šaudmuo </w:t>
      </w:r>
      <w:r w:rsidRPr="005A4C74">
        <w:rPr>
          <w:rFonts w:ascii="Arial" w:hAnsi="Arial" w:cs="Arial"/>
          <w:sz w:val="20"/>
          <w:szCs w:val="20"/>
          <w:lang w:val="lt-LT"/>
        </w:rPr>
        <w:t>– tai, kuo šaudoma iš šaunamųjų ginklų.</w:t>
      </w:r>
    </w:p>
    <w:p w:rsidRPr="005A4C74" w:rsidR="008147D8" w:rsidP="008147D8" w:rsidRDefault="008147D8" w14:paraId="3EAE8480"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Šaudmens dalis </w:t>
      </w:r>
      <w:r w:rsidRPr="005A4C74">
        <w:rPr>
          <w:rFonts w:ascii="Arial" w:hAnsi="Arial" w:cs="Arial"/>
          <w:sz w:val="20"/>
          <w:szCs w:val="20"/>
          <w:lang w:val="lt-LT"/>
        </w:rPr>
        <w:t>– sviedinys, užtaisas, kapsulė, kapsulinė tūtelė, tūtelė.</w:t>
      </w:r>
    </w:p>
    <w:p w:rsidRPr="005A4C74" w:rsidR="008147D8" w:rsidP="008147D8" w:rsidRDefault="008147D8" w14:paraId="481DFC57"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Šovinys </w:t>
      </w:r>
      <w:r w:rsidRPr="005A4C74">
        <w:rPr>
          <w:rFonts w:ascii="Arial" w:hAnsi="Arial" w:cs="Arial"/>
          <w:sz w:val="20"/>
          <w:szCs w:val="20"/>
          <w:lang w:val="lt-LT"/>
        </w:rPr>
        <w:t>– šaudmuo, susidedantis iš tūtos ar tūtelės su kapsule, sviedžiamojo užtaiso, sviedinio.</w:t>
      </w:r>
    </w:p>
    <w:p w:rsidRPr="005A4C74" w:rsidR="008147D8" w:rsidP="008147D8" w:rsidRDefault="008147D8" w14:paraId="41666747"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Sviedinys </w:t>
      </w:r>
      <w:r w:rsidRPr="005A4C74">
        <w:rPr>
          <w:rFonts w:ascii="Arial" w:hAnsi="Arial" w:cs="Arial"/>
          <w:sz w:val="20"/>
          <w:szCs w:val="20"/>
          <w:lang w:val="lt-LT"/>
        </w:rPr>
        <w:t>– šaudmens dalis (kulka, šratai, artilerijos sviedinys ar kt.), strėlė, skirta taikiniui paveikti.</w:t>
      </w:r>
    </w:p>
    <w:p w:rsidRPr="005A4C74" w:rsidR="008147D8" w:rsidP="008147D8" w:rsidRDefault="008147D8" w14:paraId="1094E830"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Priklausomybę sukeliančios medžiagos </w:t>
      </w:r>
      <w:r w:rsidRPr="005A4C74">
        <w:rPr>
          <w:rFonts w:ascii="Arial" w:hAnsi="Arial" w:cs="Arial"/>
          <w:sz w:val="20"/>
          <w:szCs w:val="20"/>
          <w:lang w:val="lt-LT"/>
        </w:rPr>
        <w:t>– alkoholiniai gėrimai, opioidai, kanabinoidai, kokainas ir preparatai iš kokos augalo, stimuliatoriai ir kokainas, haliucinogenai, psichoaktyvios, psichiką veikiančios medžiagos.</w:t>
      </w:r>
    </w:p>
    <w:p w:rsidRPr="005A4C74" w:rsidR="008147D8" w:rsidP="008147D8" w:rsidRDefault="008147D8" w14:paraId="3B9C214D"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Savos gamybos savadarbiai sprogstamieji įtaisai </w:t>
      </w:r>
      <w:r w:rsidRPr="005A4C74">
        <w:rPr>
          <w:rFonts w:ascii="Arial" w:hAnsi="Arial" w:cs="Arial"/>
          <w:sz w:val="20"/>
          <w:szCs w:val="20"/>
          <w:lang w:val="lt-LT"/>
        </w:rPr>
        <w:t>– įtaisai naudojant sprogstamas medžiagas ir elektrines, mechanines, neelektrines, chemines arba jų derinio uždegimo sistemas.</w:t>
      </w:r>
    </w:p>
    <w:p w:rsidRPr="005A4C74" w:rsidR="008147D8" w:rsidP="008147D8" w:rsidRDefault="008147D8" w14:paraId="6FB652B9"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Gamykliniai sprogstamieji įtaisai </w:t>
      </w:r>
      <w:r w:rsidRPr="005A4C74">
        <w:rPr>
          <w:rFonts w:ascii="Arial" w:hAnsi="Arial" w:cs="Arial"/>
          <w:sz w:val="20"/>
          <w:szCs w:val="20"/>
          <w:lang w:val="lt-LT"/>
        </w:rPr>
        <w:t>– sviediniai, granatos, minos, šoviniai, detonatoriai, kt.</w:t>
      </w:r>
    </w:p>
    <w:p w:rsidRPr="005A4C74" w:rsidR="008147D8" w:rsidP="008147D8" w:rsidRDefault="008147D8" w14:paraId="4090758C" w14:textId="77777777">
      <w:pPr>
        <w:pStyle w:val="ListParagraph"/>
        <w:numPr>
          <w:ilvl w:val="0"/>
          <w:numId w:val="1"/>
        </w:numPr>
        <w:autoSpaceDE w:val="0"/>
        <w:autoSpaceDN w:val="0"/>
        <w:adjustRightInd w:val="0"/>
        <w:spacing w:after="0" w:line="276" w:lineRule="auto"/>
        <w:ind w:right="424"/>
        <w:jc w:val="both"/>
        <w:rPr>
          <w:rFonts w:ascii="Arial" w:hAnsi="Arial" w:cs="Arial"/>
          <w:sz w:val="20"/>
          <w:szCs w:val="20"/>
          <w:lang w:val="lt-LT"/>
        </w:rPr>
      </w:pPr>
      <w:r w:rsidRPr="005A4C74">
        <w:rPr>
          <w:rFonts w:ascii="Arial" w:hAnsi="Arial" w:cs="Arial"/>
          <w:b/>
          <w:bCs/>
          <w:sz w:val="20"/>
          <w:szCs w:val="20"/>
          <w:lang w:val="lt-LT"/>
        </w:rPr>
        <w:t xml:space="preserve">Sprogstamosios medžiagos </w:t>
      </w:r>
      <w:r w:rsidRPr="005A4C74">
        <w:rPr>
          <w:rFonts w:ascii="Arial" w:hAnsi="Arial" w:cs="Arial"/>
          <w:sz w:val="20"/>
          <w:szCs w:val="20"/>
          <w:lang w:val="lt-LT"/>
        </w:rPr>
        <w:t>– juodasis parakas, C-4 (plastitas arba plastikinis sprogmuo), dinamitas, Semtex (C-4 atitikmuo Rytų Europoje), lakštiniai sprogmenys (trotilas ir kt.), savos gamybos sprogstamieji mišiniai.</w:t>
      </w:r>
    </w:p>
    <w:p w:rsidRPr="005A4C74" w:rsidR="008147D8" w:rsidP="008147D8" w:rsidRDefault="008147D8" w14:paraId="00FA5CE5" w14:textId="77777777">
      <w:pPr>
        <w:pStyle w:val="ListParagraph"/>
        <w:numPr>
          <w:ilvl w:val="0"/>
          <w:numId w:val="1"/>
        </w:numPr>
        <w:autoSpaceDE w:val="0"/>
        <w:autoSpaceDN w:val="0"/>
        <w:adjustRightInd w:val="0"/>
        <w:spacing w:after="0" w:line="276" w:lineRule="auto"/>
        <w:ind w:right="424"/>
        <w:jc w:val="both"/>
        <w:rPr>
          <w:rFonts w:ascii="Arial" w:hAnsi="Arial" w:cs="Arial"/>
          <w:b/>
          <w:bCs/>
          <w:sz w:val="20"/>
          <w:szCs w:val="20"/>
          <w:lang w:val="lt-LT"/>
        </w:rPr>
      </w:pPr>
      <w:r w:rsidRPr="005A4C74">
        <w:rPr>
          <w:rFonts w:ascii="Arial" w:hAnsi="Arial" w:cs="Arial"/>
          <w:sz w:val="20"/>
          <w:szCs w:val="20"/>
          <w:lang w:val="lt-LT"/>
        </w:rPr>
        <w:t xml:space="preserve">Visų rūšių </w:t>
      </w:r>
      <w:r w:rsidRPr="005A4C74">
        <w:rPr>
          <w:rFonts w:ascii="Arial" w:hAnsi="Arial" w:cs="Arial"/>
          <w:b/>
          <w:bCs/>
          <w:sz w:val="20"/>
          <w:szCs w:val="20"/>
          <w:lang w:val="lt-LT"/>
        </w:rPr>
        <w:t>elektrošokai ir elektrą spinduliuojantys ginklai.</w:t>
      </w:r>
    </w:p>
    <w:p w:rsidRPr="005A4C74" w:rsidR="008147D8" w:rsidP="008147D8" w:rsidRDefault="008147D8" w14:paraId="1FCA7949" w14:textId="77777777">
      <w:pPr>
        <w:spacing w:line="257" w:lineRule="auto"/>
        <w:rPr>
          <w:lang w:val="lt-LT"/>
        </w:rPr>
      </w:pPr>
    </w:p>
    <w:p w:rsidRPr="005A4C74" w:rsidR="008147D8" w:rsidP="008147D8" w:rsidRDefault="008147D8" w14:paraId="359BB2EC" w14:textId="77777777">
      <w:pPr>
        <w:spacing w:line="257" w:lineRule="auto"/>
        <w:rPr>
          <w:lang w:val="lt-LT"/>
        </w:rPr>
      </w:pPr>
    </w:p>
    <w:p w:rsidRPr="005A4C74" w:rsidR="008147D8" w:rsidP="008147D8" w:rsidRDefault="008147D8" w14:paraId="312BDF11" w14:textId="77777777">
      <w:pPr>
        <w:spacing w:line="257" w:lineRule="auto"/>
        <w:rPr>
          <w:lang w:val="lt-LT"/>
        </w:rPr>
      </w:pPr>
    </w:p>
    <w:p w:rsidRPr="005A4C74" w:rsidR="008147D8" w:rsidP="008147D8" w:rsidRDefault="008147D8" w14:paraId="7B194A5E" w14:textId="77777777">
      <w:pPr>
        <w:spacing w:line="257" w:lineRule="auto"/>
        <w:rPr>
          <w:lang w:val="lt-LT"/>
        </w:rPr>
      </w:pPr>
    </w:p>
    <w:p w:rsidRPr="005A4C74" w:rsidR="007664A5" w:rsidRDefault="007664A5" w14:paraId="6D23C1A4" w14:textId="77777777">
      <w:pPr>
        <w:rPr>
          <w:lang w:val="lt-LT"/>
        </w:rPr>
      </w:pPr>
    </w:p>
    <w:sectPr w:rsidRPr="005A4C74" w:rsidR="007664A5">
      <w:headerReference w:type="even" r:id="rId10"/>
      <w:headerReference w:type="default" r:id="rId11"/>
      <w:headerReference w:type="first" r:id="rId12"/>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95D" w:rsidP="008147D8" w:rsidRDefault="00F5595D" w14:paraId="5C755262" w14:textId="77777777">
      <w:pPr>
        <w:spacing w:after="0" w:line="240" w:lineRule="auto"/>
      </w:pPr>
      <w:r>
        <w:separator/>
      </w:r>
    </w:p>
  </w:endnote>
  <w:endnote w:type="continuationSeparator" w:id="0">
    <w:p w:rsidR="00F5595D" w:rsidP="008147D8" w:rsidRDefault="00F5595D" w14:paraId="6DE26A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95D" w:rsidP="008147D8" w:rsidRDefault="00F5595D" w14:paraId="1D5CA52A" w14:textId="77777777">
      <w:pPr>
        <w:spacing w:after="0" w:line="240" w:lineRule="auto"/>
      </w:pPr>
      <w:r>
        <w:separator/>
      </w:r>
    </w:p>
  </w:footnote>
  <w:footnote w:type="continuationSeparator" w:id="0">
    <w:p w:rsidR="00F5595D" w:rsidP="008147D8" w:rsidRDefault="00F5595D" w14:paraId="51C4CB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D8" w:rsidRDefault="008147D8" w14:paraId="720D4698" w14:textId="7CE4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D8" w:rsidRDefault="008147D8" w14:paraId="567607F3" w14:textId="21AE0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7D8" w:rsidRDefault="008147D8" w14:paraId="282612B5" w14:textId="75970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E3407"/>
    <w:multiLevelType w:val="hybridMultilevel"/>
    <w:tmpl w:val="51325B90"/>
    <w:lvl w:ilvl="0" w:tplc="0427000F">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85340702">
    <w:abstractNumId w:val="0"/>
  </w:num>
  <w:num w:numId="2" w16cid:durableId="209034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A2"/>
    <w:rsid w:val="0053387A"/>
    <w:rsid w:val="005A4C74"/>
    <w:rsid w:val="007664A5"/>
    <w:rsid w:val="008147D8"/>
    <w:rsid w:val="00923663"/>
    <w:rsid w:val="00C81FA2"/>
    <w:rsid w:val="00F5595D"/>
    <w:rsid w:val="29A6B59B"/>
    <w:rsid w:val="47F1FE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DF04"/>
  <w15:chartTrackingRefBased/>
  <w15:docId w15:val="{E5931690-3E05-4F28-AD98-3CDF474A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47D8"/>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8147D8"/>
    <w:pPr>
      <w:ind w:left="720"/>
      <w:contextualSpacing/>
    </w:p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147D8"/>
    <w:rPr>
      <w:lang w:val="en-US"/>
    </w:rPr>
  </w:style>
  <w:style w:type="paragraph" w:styleId="Header">
    <w:name w:val="header"/>
    <w:basedOn w:val="Normal"/>
    <w:link w:val="HeaderChar"/>
    <w:uiPriority w:val="99"/>
    <w:unhideWhenUsed/>
    <w:rsid w:val="008147D8"/>
    <w:pPr>
      <w:tabs>
        <w:tab w:val="center" w:pos="4986"/>
        <w:tab w:val="right" w:pos="9972"/>
      </w:tabs>
      <w:spacing w:after="0" w:line="240" w:lineRule="auto"/>
    </w:pPr>
  </w:style>
  <w:style w:type="character" w:styleId="HeaderChar" w:customStyle="1">
    <w:name w:val="Header Char"/>
    <w:basedOn w:val="DefaultParagraphFont"/>
    <w:link w:val="Header"/>
    <w:uiPriority w:val="99"/>
    <w:rsid w:val="008147D8"/>
    <w:rPr>
      <w:lang w:val="en-US"/>
    </w:rPr>
  </w:style>
  <w:style w:type="table" w:styleId="TableGrid">
    <w:name w:val="Table Grid"/>
    <w:basedOn w:val="TableNormal"/>
    <w:uiPriority w:val="39"/>
    <w:rsid w:val="008147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47244-9a1c-4779-83bd-7175d96a08df">
      <Terms xmlns="http://schemas.microsoft.com/office/infopath/2007/PartnerControls"/>
    </lcf76f155ced4ddcb4097134ff3c332f>
    <TaxCatchAll xmlns="66073bef-a172-4b2c-93c3-8f28adc811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D8C44CC5BBBD74EAFDB814354161B18" ma:contentTypeVersion="15" ma:contentTypeDescription="Kurkite naują dokumentą." ma:contentTypeScope="" ma:versionID="313fe66b8c9b5c049f8824152bb795a4">
  <xsd:schema xmlns:xsd="http://www.w3.org/2001/XMLSchema" xmlns:xs="http://www.w3.org/2001/XMLSchema" xmlns:p="http://schemas.microsoft.com/office/2006/metadata/properties" xmlns:ns2="11847244-9a1c-4779-83bd-7175d96a08df" xmlns:ns3="66073bef-a172-4b2c-93c3-8f28adc81137" targetNamespace="http://schemas.microsoft.com/office/2006/metadata/properties" ma:root="true" ma:fieldsID="6305c77ae8e8f0add5ae7033359788ac" ns2:_="" ns3:_="">
    <xsd:import namespace="11847244-9a1c-4779-83bd-7175d96a08df"/>
    <xsd:import namespace="66073bef-a172-4b2c-93c3-8f28adc811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7244-9a1c-4779-83bd-7175d96a0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73bef-a172-4b2c-93c3-8f28adc81137"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a4e0941-948e-42e1-b7bc-be30e92bfadf}" ma:internalName="TaxCatchAll" ma:showField="CatchAllData" ma:web="66073bef-a172-4b2c-93c3-8f28adc81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6B24D-DF88-4433-AA2F-719FABF0151B}">
  <ds:schemaRefs>
    <ds:schemaRef ds:uri="http://schemas.microsoft.com/office/2006/metadata/properties"/>
    <ds:schemaRef ds:uri="http://schemas.microsoft.com/office/infopath/2007/PartnerControls"/>
    <ds:schemaRef ds:uri="11847244-9a1c-4779-83bd-7175d96a08df"/>
    <ds:schemaRef ds:uri="66073bef-a172-4b2c-93c3-8f28adc81137"/>
  </ds:schemaRefs>
</ds:datastoreItem>
</file>

<file path=customXml/itemProps2.xml><?xml version="1.0" encoding="utf-8"?>
<ds:datastoreItem xmlns:ds="http://schemas.openxmlformats.org/officeDocument/2006/customXml" ds:itemID="{FFE08C53-F041-4EE2-8440-C44B3DFD7A9B}">
  <ds:schemaRefs>
    <ds:schemaRef ds:uri="http://schemas.microsoft.com/sharepoint/v3/contenttype/forms"/>
  </ds:schemaRefs>
</ds:datastoreItem>
</file>

<file path=customXml/itemProps3.xml><?xml version="1.0" encoding="utf-8"?>
<ds:datastoreItem xmlns:ds="http://schemas.openxmlformats.org/officeDocument/2006/customXml" ds:itemID="{1655FFBC-2399-4FB0-9902-D829DF4B5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47244-9a1c-4779-83bd-7175d96a08df"/>
    <ds:schemaRef ds:uri="66073bef-a172-4b2c-93c3-8f28adc8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Mantas Nikoličius</dc:creator>
  <keywords/>
  <dc:description/>
  <lastModifiedBy>Natalja Potraškova</lastModifiedBy>
  <revision>6</revision>
  <dcterms:created xsi:type="dcterms:W3CDTF">2025-11-18T08:31:00.0000000Z</dcterms:created>
  <dcterms:modified xsi:type="dcterms:W3CDTF">2025-11-18T08:32:05.7125302Z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0x010100DD8C44CC5BBBD74EAFDB814354161B18</vt:lpwstr>
  </property>
  <property fmtid="{D5CDD505-2E9C-101B-9397-08002B2CF9AE}" pid="3" name="MediaServiceImageTags">
    <vt:lpwstr/>
  </property>
</Properties>
</file>